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05DAD" w:rsidRDefault="00000000">
      <w:pPr>
        <w:pStyle w:val="Heading1"/>
      </w:pPr>
      <w:bookmarkStart w:id="0" w:name="Xdc0ccff3467eb93cdcb1941af1d84bd9d6dd0c4"/>
      <w:r>
        <w:t xml:space="preserve">Quantifying Multi-Signal Quorum Sensing: The </w:t>
      </w:r>
      <w:r>
        <w:rPr>
          <w:i/>
          <w:iCs/>
        </w:rPr>
        <w:t>las</w:t>
      </w:r>
      <w:r>
        <w:t xml:space="preserve"> and </w:t>
      </w:r>
      <w:r>
        <w:rPr>
          <w:i/>
          <w:iCs/>
        </w:rPr>
        <w:t>rhl</w:t>
      </w:r>
      <w:r>
        <w:t xml:space="preserve"> Systems in </w:t>
      </w:r>
      <w:r>
        <w:rPr>
          <w:i/>
          <w:iCs/>
        </w:rPr>
        <w:t>Pseudomonas aeruginosa</w:t>
      </w:r>
      <w:r>
        <w:t xml:space="preserve"> Form a Biased Reciprocal Network That Can Tune Responses to Physical and Social Environments</w:t>
      </w:r>
    </w:p>
    <w:p w:rsidR="00A05DAD"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A05DAD" w:rsidRDefault="00000000">
      <w:pPr>
        <w:pStyle w:val="Compact"/>
        <w:numPr>
          <w:ilvl w:val="0"/>
          <w:numId w:val="3"/>
        </w:numPr>
      </w:pPr>
      <w:r>
        <w:t>School of Biological Sciences, Georgia Institute of Technology, Atlanta, GA USA 30332.</w:t>
      </w:r>
    </w:p>
    <w:p w:rsidR="00A05DAD" w:rsidRDefault="00000000">
      <w:pPr>
        <w:pStyle w:val="Compact"/>
        <w:numPr>
          <w:ilvl w:val="0"/>
          <w:numId w:val="3"/>
        </w:numPr>
      </w:pPr>
      <w:r>
        <w:t>Department of Microbiology, Faculty of Agriculture, Cairo University, Giza 12613, Egypt.</w:t>
      </w:r>
    </w:p>
    <w:p w:rsidR="00A05DAD" w:rsidRDefault="00000000">
      <w:pPr>
        <w:pStyle w:val="Compact"/>
        <w:numPr>
          <w:ilvl w:val="0"/>
          <w:numId w:val="3"/>
        </w:numPr>
      </w:pPr>
      <w:r>
        <w:t>Department of Biology, College of Arts and Sciences, Georgia State University, Atlanta, GA USA 30303.</w:t>
      </w:r>
    </w:p>
    <w:p w:rsidR="00A05DAD" w:rsidRDefault="00000000">
      <w:pPr>
        <w:pStyle w:val="Compact"/>
        <w:numPr>
          <w:ilvl w:val="0"/>
          <w:numId w:val="3"/>
        </w:numPr>
      </w:pPr>
      <w:r>
        <w:t>Present address: Sandia National Laboratories, Albuquerque, NM, USA.</w:t>
      </w:r>
    </w:p>
    <w:p w:rsidR="00A05DAD"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A05DAD" w:rsidRDefault="00000000">
      <w:pPr>
        <w:pStyle w:val="Heading2"/>
      </w:pPr>
      <w:bookmarkStart w:id="1" w:name="introduction"/>
      <w:r>
        <w:t>Introduction</w:t>
      </w:r>
    </w:p>
    <w:p w:rsidR="00A05DAD"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w:t>
      </w:r>
      <w:r>
        <w:lastRenderedPageBreak/>
        <w:t>Tucker, and Passador 2002), and we have recognized that many species possess multiple QS circuits (Papenfort and Bassler 2016).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A05DAD"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A05DAD"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A05DAD" w:rsidRDefault="00000000">
      <w:pPr>
        <w:pStyle w:val="CaptionedFigure"/>
      </w:pPr>
      <w:bookmarkStart w:id="2" w:name="fig:architectures"/>
      <w:r>
        <w:rPr>
          <w:noProof/>
        </w:rPr>
        <w:lastRenderedPageBreak/>
        <w:drawing>
          <wp:inline distT="0" distB="0" distL="0" distR="0">
            <wp:extent cx="5238750" cy="428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2"/>
    <w:p w:rsidR="00A05DAD"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A05DAD"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A05DAD" w:rsidRDefault="00000000">
      <w:pPr>
        <w:pStyle w:val="CaptionedFigure"/>
      </w:pPr>
      <w:bookmarkStart w:id="3" w:name="fig:hierarchy"/>
      <w:r>
        <w:rPr>
          <w:noProof/>
        </w:rPr>
        <w:lastRenderedPageBreak/>
        <w:drawing>
          <wp:inline distT="0" distB="0" distL="0" distR="0">
            <wp:extent cx="5238750" cy="4286250"/>
            <wp:effectExtent l="0" t="0" r="0" b="0"/>
            <wp:docPr id="26" name="Picture" descr="Figure 2: hierarchy"/>
            <wp:cNvGraphicFramePr/>
            <a:graphic xmlns:a="http://schemas.openxmlformats.org/drawingml/2006/main">
              <a:graphicData uri="http://schemas.openxmlformats.org/drawingml/2006/picture">
                <pic:pic xmlns:pic="http://schemas.openxmlformats.org/drawingml/2006/picture">
                  <pic:nvPicPr>
                    <pic:cNvPr id="27"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3"/>
    <w:p w:rsidR="00A05DAD"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A05DAD"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hiearchy, the reciprocity we observe provides more sensitivity to population density and more robustness to interfering physical environmental variation.</w:t>
      </w:r>
    </w:p>
    <w:p w:rsidR="00A05DAD" w:rsidRDefault="00000000">
      <w:pPr>
        <w:pStyle w:val="Heading2"/>
      </w:pPr>
      <w:bookmarkStart w:id="4" w:name="results"/>
      <w:bookmarkEnd w:id="1"/>
      <w:r>
        <w:t>Results</w:t>
      </w:r>
    </w:p>
    <w:p w:rsidR="00A05DAD"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xml:space="preserve">) exposed to defined, exogenous </w:t>
      </w:r>
      <w:r>
        <w:lastRenderedPageBreak/>
        <w:t>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A05DAD" w:rsidRDefault="00000000">
      <w:pPr>
        <w:pStyle w:val="Heading3"/>
      </w:pPr>
      <w:bookmarkStart w:id="5" w:name="X07d8eef75b20be03a4367928cbb9124014b7bcf"/>
      <w:r>
        <w:t xml:space="preserve">The </w:t>
      </w:r>
      <w:r>
        <w:rPr>
          <w:i/>
          <w:iCs/>
        </w:rPr>
        <w:t>las</w:t>
      </w:r>
      <w:r>
        <w:t xml:space="preserve"> and </w:t>
      </w:r>
      <w:r>
        <w:rPr>
          <w:i/>
          <w:iCs/>
        </w:rPr>
        <w:t>rhl</w:t>
      </w:r>
      <w:r>
        <w:t xml:space="preserve"> Systems Influence Each Other</w:t>
      </w:r>
    </w:p>
    <w:p w:rsidR="00A05DAD"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A05DAD" w:rsidRDefault="00000000">
      <w:pPr>
        <w:pStyle w:val="CaptionedFigure"/>
      </w:pPr>
      <w:bookmarkStart w:id="6" w:name="fig:single_c12"/>
      <w:r>
        <w:rPr>
          <w:noProof/>
        </w:rPr>
        <w:drawing>
          <wp:inline distT="0" distB="0" distL="0" distR="0">
            <wp:extent cx="5657850" cy="2571750"/>
            <wp:effectExtent l="0" t="0" r="0" b="0"/>
            <wp:docPr id="32" name="Picture" descr="Figure 3: single_c12"/>
            <wp:cNvGraphicFramePr/>
            <a:graphic xmlns:a="http://schemas.openxmlformats.org/drawingml/2006/main">
              <a:graphicData uri="http://schemas.openxmlformats.org/drawingml/2006/picture">
                <pic:pic xmlns:pic="http://schemas.openxmlformats.org/drawingml/2006/picture">
                  <pic:nvPicPr>
                    <pic:cNvPr id="33"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6"/>
    <w:p w:rsidR="00A05DAD"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A05DAD"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A05DAD" w:rsidRDefault="00000000">
      <w:pPr>
        <w:pStyle w:val="CaptionedFigure"/>
      </w:pPr>
      <w:bookmarkStart w:id="7" w:name="fig:single_c4"/>
      <w:r>
        <w:rPr>
          <w:noProof/>
        </w:rPr>
        <w:lastRenderedPageBreak/>
        <w:drawing>
          <wp:inline distT="0" distB="0" distL="0" distR="0">
            <wp:extent cx="5657850" cy="2571750"/>
            <wp:effectExtent l="0" t="0" r="0" b="0"/>
            <wp:docPr id="37" name="Picture" descr="Figure 4: single_c4"/>
            <wp:cNvGraphicFramePr/>
            <a:graphic xmlns:a="http://schemas.openxmlformats.org/drawingml/2006/main">
              <a:graphicData uri="http://schemas.openxmlformats.org/drawingml/2006/picture">
                <pic:pic xmlns:pic="http://schemas.openxmlformats.org/drawingml/2006/picture">
                  <pic:nvPicPr>
                    <pic:cNvPr id="38"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7"/>
    <w:p w:rsidR="00A05DAD"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A05DAD"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A05DAD"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A05DAD" w:rsidRDefault="00142A09">
      <w:pPr>
        <w:pStyle w:val="FirstParagraph"/>
      </w:pPr>
      <w:r>
        <w:rPr>
          <w:noProof/>
        </w:rPr>
        <w:drawing>
          <wp:inline distT="0" distB="0" distL="0" distR="0">
            <wp:extent cx="5486400" cy="2016807"/>
            <wp:effectExtent l="0" t="0" r="0" b="0"/>
            <wp:docPr id="19471497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49768" name="Graphic 1947149768"/>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016807"/>
                    </a:xfrm>
                    <a:prstGeom prst="rect">
                      <a:avLst/>
                    </a:prstGeom>
                  </pic:spPr>
                </pic:pic>
              </a:graphicData>
            </a:graphic>
          </wp:inline>
        </w:drawing>
      </w:r>
    </w:p>
    <w:p w:rsidR="00A05DAD" w:rsidRDefault="00000000">
      <w:pPr>
        <w:pStyle w:val="BodyText"/>
      </w:pPr>
      <w:r>
        <w:lastRenderedPageBreak/>
        <w:t xml:space="preserve">By minimizing the sum of squared error (with non-linear regression using the Gauss-Newton algorithm), we estimate model parameters from our data, using only those observations in which a single signal is present. TableS.3 details the results.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A05DAD" w:rsidRDefault="00000000">
      <w:pPr>
        <w:pStyle w:val="Heading3"/>
      </w:pPr>
      <w:bookmarkStart w:id="8" w:name="Xf2b78a5975f7435e62f97939c4950da88a58c5c"/>
      <w:bookmarkEnd w:id="5"/>
      <w:r>
        <w:rPr>
          <w:i/>
          <w:iCs/>
        </w:rPr>
        <w:t>las</w:t>
      </w:r>
      <w:r>
        <w:t xml:space="preserve"> and </w:t>
      </w:r>
      <w:r>
        <w:rPr>
          <w:i/>
          <w:iCs/>
        </w:rPr>
        <w:t>rhl</w:t>
      </w:r>
      <w:r>
        <w:t xml:space="preserve"> Combine Non-Linearly and Synergistically</w:t>
      </w:r>
    </w:p>
    <w:p w:rsidR="00A05DAD"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A05DAD" w:rsidRDefault="00000000">
      <w:pPr>
        <w:pStyle w:val="CaptionedFigure"/>
      </w:pPr>
      <w:bookmarkStart w:id="9" w:name="fig:combined"/>
      <w:r>
        <w:rPr>
          <w:noProof/>
        </w:rPr>
        <w:drawing>
          <wp:inline distT="0" distB="0" distL="0" distR="0">
            <wp:extent cx="5657850" cy="2571750"/>
            <wp:effectExtent l="0" t="0" r="0" b="0"/>
            <wp:docPr id="44" name="Picture" descr="Figure 5: combined"/>
            <wp:cNvGraphicFramePr/>
            <a:graphic xmlns:a="http://schemas.openxmlformats.org/drawingml/2006/main">
              <a:graphicData uri="http://schemas.openxmlformats.org/drawingml/2006/picture">
                <pic:pic xmlns:pic="http://schemas.openxmlformats.org/drawingml/2006/picture">
                  <pic:nvPicPr>
                    <pic:cNvPr id="45"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9"/>
    <w:p w:rsidR="00A05DAD"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A05DAD"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 xml:space="preserve">‑HSL. Figure 6 clearly shows that we cannot. The maximum expression observed, shown as a “ceiling” in that figure’s panels, </w:t>
      </w:r>
      <w:r>
        <w:lastRenderedPageBreak/>
        <w:t>far exceeds the sum of the signals’ individual influence. The presence of both signals boosts expression by as much as 30-fold beyond the level of what a simple sum would predict.</w:t>
      </w:r>
    </w:p>
    <w:p w:rsidR="00A05DAD" w:rsidRDefault="00000000">
      <w:pPr>
        <w:pStyle w:val="CaptionedFigure"/>
      </w:pPr>
      <w:bookmarkStart w:id="10" w:name="fig:single_all"/>
      <w:r>
        <w:rPr>
          <w:noProof/>
        </w:rPr>
        <w:drawing>
          <wp:inline distT="0" distB="0" distL="0" distR="0">
            <wp:extent cx="5715000" cy="2190750"/>
            <wp:effectExtent l="0" t="0" r="0" b="0"/>
            <wp:docPr id="49" name="Picture" descr="Figure 6: single_all"/>
            <wp:cNvGraphicFramePr/>
            <a:graphic xmlns:a="http://schemas.openxmlformats.org/drawingml/2006/main">
              <a:graphicData uri="http://schemas.openxmlformats.org/drawingml/2006/picture">
                <pic:pic xmlns:pic="http://schemas.openxmlformats.org/drawingml/2006/picture">
                  <pic:nvPicPr>
                    <pic:cNvPr id="50"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bookmarkEnd w:id="10"/>
    <w:p w:rsidR="00A05DAD"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S.3).</w:t>
      </w:r>
    </w:p>
    <w:p w:rsidR="00A05DAD"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A05DAD" w:rsidRDefault="00142A09">
      <w:pPr>
        <w:pStyle w:val="FirstParagraph"/>
      </w:pPr>
      <w:r>
        <w:rPr>
          <w:noProof/>
        </w:rPr>
        <w:lastRenderedPageBreak/>
        <w:drawing>
          <wp:inline distT="0" distB="0" distL="0" distR="0">
            <wp:extent cx="5486400" cy="2938536"/>
            <wp:effectExtent l="0" t="0" r="0" b="0"/>
            <wp:docPr id="22682185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50" name="Graphic 226821850"/>
                    <pic:cNvPicPr/>
                  </pic:nvPicPr>
                  <pic:blipFill>
                    <a:blip r:embed="rId19">
                      <a:extLst>
                        <a:ext uri="{96DAC541-7B7A-43D3-8B79-37D633B846F1}">
                          <asvg:svgBlip xmlns:asvg="http://schemas.microsoft.com/office/drawing/2016/SVG/main" r:embed="rId20"/>
                        </a:ext>
                      </a:extLst>
                    </a:blip>
                    <a:stretch>
                      <a:fillRect/>
                    </a:stretch>
                  </pic:blipFill>
                  <pic:spPr>
                    <a:xfrm>
                      <a:off x="0" y="0"/>
                      <a:ext cx="5486400" cy="2938536"/>
                    </a:xfrm>
                    <a:prstGeom prst="rect">
                      <a:avLst/>
                    </a:prstGeom>
                  </pic:spPr>
                </pic:pic>
              </a:graphicData>
            </a:graphic>
          </wp:inline>
        </w:drawing>
      </w:r>
    </w:p>
    <w:p w:rsidR="00A05DAD"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S.4 have R</w:t>
      </w:r>
      <w:r>
        <w:rPr>
          <w:vertAlign w:val="superscript"/>
        </w:rPr>
        <w:t>2</w:t>
      </w:r>
      <w:r>
        <w:t xml:space="preserve"> values of 0.82 and 0.77. Figure 7 compares the model estimates with observations. For both genes, the model captures the effect of either signal in isolation and both signals in combination.</w:t>
      </w:r>
    </w:p>
    <w:p w:rsidR="00A05DAD" w:rsidRDefault="00000000">
      <w:pPr>
        <w:pStyle w:val="CaptionedFigure"/>
      </w:pPr>
      <w:bookmarkStart w:id="11" w:name="fig:multiple"/>
      <w:r>
        <w:rPr>
          <w:noProof/>
        </w:rPr>
        <w:drawing>
          <wp:inline distT="0" distB="0" distL="0" distR="0">
            <wp:extent cx="5334000" cy="2190750"/>
            <wp:effectExtent l="0" t="0" r="0" b="0"/>
            <wp:docPr id="55" name="Picture" descr="Figure 7: multiple"/>
            <wp:cNvGraphicFramePr/>
            <a:graphic xmlns:a="http://schemas.openxmlformats.org/drawingml/2006/main">
              <a:graphicData uri="http://schemas.openxmlformats.org/drawingml/2006/picture">
                <pic:pic xmlns:pic="http://schemas.openxmlformats.org/drawingml/2006/picture">
                  <pic:nvPicPr>
                    <pic:cNvPr id="56"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bookmarkEnd w:id="11"/>
    <w:p w:rsidR="00A05DAD"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A05DAD"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w:t>
      </w:r>
      <w:r>
        <w:lastRenderedPageBreak/>
        <w:t xml:space="preserve">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A05DAD" w:rsidRDefault="00000000">
      <w:pPr>
        <w:pStyle w:val="CaptionedFigure"/>
      </w:pPr>
      <w:bookmarkStart w:id="12" w:name="fig:reciprocal"/>
      <w:r>
        <w:rPr>
          <w:noProof/>
        </w:rPr>
        <w:drawing>
          <wp:inline distT="0" distB="0" distL="0" distR="0">
            <wp:extent cx="4486275" cy="2676525"/>
            <wp:effectExtent l="0" t="0" r="0" b="0"/>
            <wp:docPr id="60" name="Picture" descr="Figure 8: reciprocal"/>
            <wp:cNvGraphicFramePr/>
            <a:graphic xmlns:a="http://schemas.openxmlformats.org/drawingml/2006/main">
              <a:graphicData uri="http://schemas.openxmlformats.org/drawingml/2006/picture">
                <pic:pic xmlns:pic="http://schemas.openxmlformats.org/drawingml/2006/picture">
                  <pic:nvPicPr>
                    <pic:cNvPr id="61"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bookmarkEnd w:id="12"/>
    <w:p w:rsidR="00A05DAD"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A05DAD" w:rsidRDefault="00000000">
      <w:pPr>
        <w:pStyle w:val="Heading3"/>
      </w:pPr>
      <w:bookmarkStart w:id="13" w:name="Xd145c737aae79dd4dc1f416a77ecbba85a1c40d"/>
      <w:bookmarkEnd w:id="8"/>
      <w:r>
        <w:rPr>
          <w:i/>
          <w:iCs/>
        </w:rPr>
        <w:t>las</w:t>
      </w:r>
      <w:r>
        <w:t xml:space="preserve"> and </w:t>
      </w:r>
      <w:r>
        <w:rPr>
          <w:i/>
          <w:iCs/>
        </w:rPr>
        <w:t>rhl</w:t>
      </w:r>
      <w:r>
        <w:t xml:space="preserve"> Synergy Also Shapes Control of Quorum Sensing Effector Genes</w:t>
      </w:r>
    </w:p>
    <w:p w:rsidR="00A05DAD" w:rsidRDefault="00000000">
      <w:pPr>
        <w:pStyle w:val="FirstParagraph"/>
      </w:pPr>
      <w:r>
        <w:t xml:space="preserve">Our results, summarized in Figure 8, establish that both AHL signals influence the expression levels of both synthase genes in a synergistic manner. We note that the methods outlined in Figures 3–8 for the </w:t>
      </w:r>
      <w:r>
        <w:rPr>
          <w:i/>
          <w:iCs/>
        </w:rPr>
        <w:t>lasI</w:t>
      </w:r>
      <w:r>
        <w:t xml:space="preserve"> and </w:t>
      </w:r>
      <w:r>
        <w:rPr>
          <w:i/>
          <w:iCs/>
        </w:rPr>
        <w:t>rhlI</w:t>
      </w:r>
      <w:r>
        <w:t xml:space="preserve"> synthase genes can be applied to any QS-controlled gene of interest and can quantify dual signal control over expression levels. Here we look at </w:t>
      </w:r>
      <w:r>
        <w:rPr>
          <w:i/>
          <w:iCs/>
        </w:rPr>
        <w:t>lasB,</w:t>
      </w:r>
      <w:r>
        <w:t xml:space="preserve"> a classic QS effector gene that codes for the secreted digestive enzyme LasB and a widely used as a model of QS-mediated virulence (Casilag et al. 2016; Cigana et al. 2021) and cooperation (Diggle et al. 2007; Allen et al. 2016; Sexton and Schuster 2017).</w:t>
      </w:r>
    </w:p>
    <w:p w:rsidR="00A05DAD"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9A). Fitting Equation 2 to the data highlights that </w:t>
      </w:r>
      <w:r>
        <w:rPr>
          <w:i/>
          <w:iCs/>
        </w:rPr>
        <w:t>lasB</w:t>
      </w:r>
      <w:r>
        <w:t xml:space="preserve"> expression is dominated by the synergistic combination of both signals rather than either signal in isolation (Figure 9B). Notably, </w:t>
      </w:r>
      <w:r>
        <w:rPr>
          <w:i/>
          <w:iCs/>
        </w:rPr>
        <w:t>lasB</w:t>
      </w:r>
      <w:r>
        <w:t xml:space="preserve"> expression is more senstive to C</w:t>
      </w:r>
      <w:r>
        <w:rPr>
          <w:vertAlign w:val="subscript"/>
        </w:rPr>
        <w:t>4</w:t>
      </w:r>
      <w:r>
        <w:t>‑HSL than to 3‑oxo‑C</w:t>
      </w:r>
      <w:r>
        <w:rPr>
          <w:vertAlign w:val="subscript"/>
        </w:rPr>
        <w:t>12</w:t>
      </w:r>
      <w:r>
        <w:t>‑HSL. (Figure 9C).</w:t>
      </w:r>
    </w:p>
    <w:p w:rsidR="00A05DAD" w:rsidRDefault="00000000">
      <w:pPr>
        <w:pStyle w:val="CaptionedFigure"/>
      </w:pPr>
      <w:bookmarkStart w:id="14" w:name="fig:lasb_expression"/>
      <w:r>
        <w:rPr>
          <w:noProof/>
        </w:rPr>
        <w:lastRenderedPageBreak/>
        <w:drawing>
          <wp:inline distT="0" distB="0" distL="0" distR="0">
            <wp:extent cx="5705475" cy="3962400"/>
            <wp:effectExtent l="0" t="0" r="0" b="0"/>
            <wp:docPr id="66" name="Picture" descr="Figure 9: lasb_expression"/>
            <wp:cNvGraphicFramePr/>
            <a:graphic xmlns:a="http://schemas.openxmlformats.org/drawingml/2006/main">
              <a:graphicData uri="http://schemas.openxmlformats.org/drawingml/2006/picture">
                <pic:pic xmlns:pic="http://schemas.openxmlformats.org/drawingml/2006/picture">
                  <pic:nvPicPr>
                    <pic:cNvPr id="67"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62400"/>
                    </a:xfrm>
                    <a:prstGeom prst="rect">
                      <a:avLst/>
                    </a:prstGeom>
                    <a:noFill/>
                    <a:ln w="9525">
                      <a:noFill/>
                      <a:headEnd/>
                      <a:tailEnd/>
                    </a:ln>
                  </pic:spPr>
                </pic:pic>
              </a:graphicData>
            </a:graphic>
          </wp:inline>
        </w:drawing>
      </w:r>
    </w:p>
    <w:bookmarkEnd w:id="14"/>
    <w:p w:rsidR="00A05DAD"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(C) Summary of model parameters in context of lasI and rhlI. Figure S.3 shows underlying expression data for full time course of experiments; Table S.5 lists the parameter values, and Figures S.6 and S.7 provide a detailed comparison of model predictions and observations.</w:t>
      </w:r>
    </w:p>
    <w:p w:rsidR="00A05DAD" w:rsidRDefault="00000000">
      <w:pPr>
        <w:pStyle w:val="Heading3"/>
      </w:pPr>
      <w:bookmarkStart w:id="15" w:name="X640711410c21f1b42f74977b292640e4bbbb74d"/>
      <w:bookmarkEnd w:id="13"/>
      <w:r>
        <w:t>Mathematical Models Incorporating Multi-signal Interactions Predict Quorum Sensing Response to Environmental Variation</w:t>
      </w:r>
    </w:p>
    <w:p w:rsidR="00A05DAD" w:rsidRDefault="00000000">
      <w:pPr>
        <w:pStyle w:val="FirstParagraph"/>
      </w:pPr>
      <w:r>
        <w:t xml:space="preserve">Our parameterized gene expression model (Equation 2)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7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(Allen et al. 2016), combinations (Cornforth et al. 2014), etc.)</w:t>
      </w:r>
    </w:p>
    <w:p w:rsidR="00A05DAD"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w:t>
      </w:r>
      <w:r>
        <w:lastRenderedPageBreak/>
        <w:t xml:space="preserve">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A05DAD" w:rsidRDefault="00142A09">
      <w:pPr>
        <w:pStyle w:val="FirstParagraph"/>
      </w:pPr>
      <w:r>
        <w:rPr>
          <w:noProof/>
        </w:rPr>
        <w:drawing>
          <wp:inline distT="0" distB="0" distL="0" distR="0">
            <wp:extent cx="5486400" cy="2820112"/>
            <wp:effectExtent l="0" t="0" r="0" b="0"/>
            <wp:docPr id="9509272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2722" name="Graphic 95092722"/>
                    <pic:cNvPicPr/>
                  </pic:nvPicPr>
                  <pic:blipFill>
                    <a:blip r:embed="rId27">
                      <a:extLst>
                        <a:ext uri="{96DAC541-7B7A-43D3-8B79-37D633B846F1}">
                          <asvg:svgBlip xmlns:asvg="http://schemas.microsoft.com/office/drawing/2016/SVG/main" r:embed="rId28"/>
                        </a:ext>
                      </a:extLst>
                    </a:blip>
                    <a:stretch>
                      <a:fillRect/>
                    </a:stretch>
                  </pic:blipFill>
                  <pic:spPr>
                    <a:xfrm>
                      <a:off x="0" y="0"/>
                      <a:ext cx="5486400" cy="2820112"/>
                    </a:xfrm>
                    <a:prstGeom prst="rect">
                      <a:avLst/>
                    </a:prstGeom>
                  </pic:spPr>
                </pic:pic>
              </a:graphicData>
            </a:graphic>
          </wp:inline>
        </w:drawing>
      </w:r>
    </w:p>
    <w:p w:rsidR="00A05DAD"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3 for either independent (Equation1 or synergistic (Equation 2)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A05DAD" w:rsidRDefault="00000000">
      <w:pPr>
        <w:pStyle w:val="BodyText"/>
      </w:pPr>
      <w:r>
        <w:t xml:space="preserve">To numerically solve for equilibrium signal values in Equation 3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2,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2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A05DAD" w:rsidRDefault="00000000">
      <w:pPr>
        <w:pStyle w:val="BodyText"/>
      </w:pPr>
      <w:r>
        <w:t xml:space="preserve">In Figure 10 we illustrate our integrated model prediction of </w:t>
      </w:r>
      <w:r>
        <w:rPr>
          <w:i/>
          <w:iCs/>
        </w:rPr>
        <w:t>lasB</w:t>
      </w:r>
      <w:r>
        <w:t xml:space="preserve"> expression as a function of change in stationary phase population density, </w:t>
      </w:r>
      <w:r>
        <w:rPr>
          <w:i/>
          <w:iCs/>
        </w:rPr>
        <w:t>N</w:t>
      </w:r>
      <w:r>
        <w:t xml:space="preserve"> (solid line, Figure 10), capturing the causal chain from environment </w:t>
      </w:r>
      <w:r>
        <w:rPr>
          <w:i/>
          <w:iCs/>
        </w:rPr>
        <w:t>N</w:t>
      </w:r>
      <w:r>
        <w:t xml:space="preserve"> to signal levels </w:t>
      </w:r>
      <w:r>
        <w:rPr>
          <w:b/>
          <w:bCs/>
        </w:rPr>
        <w:t>S</w:t>
      </w:r>
      <w:r>
        <w:t xml:space="preserve"> (Equation 3) and signals </w:t>
      </w:r>
      <w:r>
        <w:rPr>
          <w:b/>
          <w:bCs/>
        </w:rPr>
        <w:t>S</w:t>
      </w:r>
      <w:r>
        <w:t xml:space="preserve"> to </w:t>
      </w:r>
      <w:r>
        <w:rPr>
          <w:i/>
          <w:iCs/>
        </w:rPr>
        <w:t>lasB</w:t>
      </w:r>
      <w:r>
        <w:t xml:space="preserve"> expression (Equation 2, Figure 9,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w:t>
      </w:r>
      <w:r>
        <w:lastRenderedPageBreak/>
        <w:t>not governed by a critical cell density or ‘quorum’ threshold separating off/on states, but are better described as producing graded or rheostatic responses to changes in density.</w:t>
      </w:r>
    </w:p>
    <w:p w:rsidR="00A05DAD" w:rsidRDefault="00000000">
      <w:pPr>
        <w:pStyle w:val="CaptionedFigure"/>
      </w:pPr>
      <w:bookmarkStart w:id="16" w:name="fig:lasb_response"/>
      <w:r>
        <w:rPr>
          <w:noProof/>
        </w:rPr>
        <w:drawing>
          <wp:inline distT="0" distB="0" distL="0" distR="0">
            <wp:extent cx="4076700" cy="3162300"/>
            <wp:effectExtent l="0" t="0" r="0" b="0"/>
            <wp:docPr id="73" name="Picture" descr="Figure 10: lasb_response"/>
            <wp:cNvGraphicFramePr/>
            <a:graphic xmlns:a="http://schemas.openxmlformats.org/drawingml/2006/main">
              <a:graphicData uri="http://schemas.openxmlformats.org/drawingml/2006/picture">
                <pic:pic xmlns:pic="http://schemas.openxmlformats.org/drawingml/2006/picture">
                  <pic:nvPicPr>
                    <pic:cNvPr id="74"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bookmarkEnd w:id="16"/>
    <w:p w:rsidR="00A05DAD"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(solid line), as a function of population carrying capacity.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w:t>
      </w:r>
    </w:p>
    <w:p w:rsidR="00A05DAD" w:rsidRDefault="00000000">
      <w:pPr>
        <w:pStyle w:val="Heading3"/>
      </w:pPr>
      <w:bookmarkStart w:id="17" w:name="Xa6938a39d0945a75713dd8913666836961d703b"/>
      <w:bookmarkEnd w:id="15"/>
      <w:r>
        <w:t>Multi-Signal Architectures Govern Functional Responses to Environmental Variation</w:t>
      </w:r>
    </w:p>
    <w:p w:rsidR="00A05DAD" w:rsidRDefault="00000000">
      <w:pPr>
        <w:pStyle w:val="FirstParagraph"/>
      </w:pPr>
      <w:r>
        <w:t xml:space="preserve">Following an initial validation of our quantitative predictions linking environmental properties to QS-controlled behaviors (Figure 10),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w:t>
      </w:r>
    </w:p>
    <w:p w:rsidR="00A05DAD"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w:t>
      </w:r>
      <w:r>
        <w:lastRenderedPageBreak/>
        <w:t xml:space="preserve">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A05DAD" w:rsidRDefault="00000000">
      <w:pPr>
        <w:pStyle w:val="BodyText"/>
      </w:pPr>
      <w:r>
        <w:t xml:space="preserve">Using our alternate models, we examine in Figure 11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11A (reciprocal architecture) with </w:t>
      </w:r>
      <w:r>
        <w:rPr>
          <w:i/>
          <w:iCs/>
        </w:rPr>
        <w:t>m =</w:t>
      </w:r>
      <w:r>
        <w:t xml:space="preserve"> 0, we recover the graded response to increasing stationary density </w:t>
      </w:r>
      <w:r>
        <w:rPr>
          <w:i/>
          <w:iCs/>
        </w:rPr>
        <w:t>N</w:t>
      </w:r>
      <w:r>
        <w:t xml:space="preserve"> predicted theoretically and confirmed empirically in Figure 10. Looking across alternate models without rescaling (Figures 11A-C)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11D-F)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A05DAD" w:rsidRDefault="00000000">
      <w:pPr>
        <w:pStyle w:val="CaptionedFigure"/>
      </w:pPr>
      <w:bookmarkStart w:id="18" w:name="fig:lasb_heatmaps"/>
      <w:r>
        <w:rPr>
          <w:noProof/>
        </w:rPr>
        <w:drawing>
          <wp:inline distT="0" distB="0" distL="0" distR="0">
            <wp:extent cx="4762500" cy="3238500"/>
            <wp:effectExtent l="0" t="0" r="0" b="0"/>
            <wp:docPr id="79" name="Picture" descr="Figure 11: lasb_heatmaps"/>
            <wp:cNvGraphicFramePr/>
            <a:graphic xmlns:a="http://schemas.openxmlformats.org/drawingml/2006/main">
              <a:graphicData uri="http://schemas.openxmlformats.org/drawingml/2006/picture">
                <pic:pic xmlns:pic="http://schemas.openxmlformats.org/drawingml/2006/picture">
                  <pic:nvPicPr>
                    <pic:cNvPr id="80" name="Picture" descr="Figures/lasb_heatmap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18"/>
    <w:p w:rsidR="00A05DAD" w:rsidRDefault="00000000">
      <w:pPr>
        <w:pStyle w:val="Caption"/>
      </w:pPr>
      <w:r>
        <w:rPr>
          <w:b/>
          <w:bCs/>
        </w:rPr>
        <w:t>Figure 11. The reciprocal QS architecture generates a greater response to population density and is more robust to environmental interference.</w:t>
      </w:r>
      <w:r>
        <w:t xml:space="preserve"> The figure shows heat maps of </w:t>
      </w:r>
      <w:r>
        <w:rPr>
          <w:iCs/>
        </w:rPr>
        <w:t>lasB</w:t>
      </w:r>
      <w:r>
        <w:t xml:space="preserve"> </w:t>
      </w:r>
      <w:r>
        <w:lastRenderedPageBreak/>
        <w:t xml:space="preserve">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S.5, S.6, S.7 and S.8.</w:t>
      </w:r>
    </w:p>
    <w:p w:rsidR="00A05DAD" w:rsidRDefault="00000000">
      <w:pPr>
        <w:pStyle w:val="Heading2"/>
      </w:pPr>
      <w:bookmarkStart w:id="19" w:name="discussion"/>
      <w:bookmarkEnd w:id="4"/>
      <w:bookmarkEnd w:id="17"/>
      <w:r>
        <w:t>Discussion</w:t>
      </w:r>
    </w:p>
    <w:p w:rsidR="00A05DAD"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A05DAD"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2) is incomplete. Specifically, we confirm the observations of Dekimpe and Déziel (Dekimpe and Déziel 2009) and find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We further show that this effect is substantial, as C</w:t>
      </w:r>
      <w:r>
        <w:rPr>
          <w:vertAlign w:val="subscript"/>
        </w:rPr>
        <w:t>4</w:t>
      </w:r>
      <w:r>
        <w:t xml:space="preserve">‑HSL alone induces more than a six-fold increase in </w:t>
      </w:r>
      <w:r>
        <w:rPr>
          <w:i/>
          <w:iCs/>
        </w:rPr>
        <w:t>lasI</w:t>
      </w:r>
      <w:r>
        <w:t xml:space="preserve"> expression compared to basal levels (Figure 4). Fitting mathematical models to data, we quantify within- and among-module interactions, and we demonstrate that the </w:t>
      </w:r>
      <w:r>
        <w:rPr>
          <w:i/>
          <w:iCs/>
        </w:rPr>
        <w:t>las-rhl</w:t>
      </w:r>
      <w:r>
        <w:t xml:space="preserve"> system functions as a biased, reciprocally-activating and cooperative network (Figures 6, 7, and 8). To place this intracellular network in an environmental context, we extend our mathematical model to incorporate environmental variation, and find close quantitative support for our model predictions using existing data (Figure 10).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11).</w:t>
      </w:r>
    </w:p>
    <w:p w:rsidR="00A05DAD" w:rsidRDefault="00000000">
      <w:pPr>
        <w:pStyle w:val="BodyText"/>
      </w:pPr>
      <w:r>
        <w:t xml:space="preserve">Turning to the most common functional rationales for QS, the parameterized Figure 11A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A05DAD" w:rsidRDefault="00000000">
      <w:pPr>
        <w:pStyle w:val="BodyText"/>
      </w:pPr>
      <w:r>
        <w:lastRenderedPageBreak/>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12). Our analyses illustrate that the prediction of differential signal responses to changing environmental parameters is substantial given the independent architecture (different contour slopes in Figure 12C,F), but is attenuated given reciprocal chitecture (Figure 12A,D).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A05DAD" w:rsidRDefault="00000000">
      <w:pPr>
        <w:pStyle w:val="CaptionedFigure"/>
      </w:pPr>
      <w:bookmarkStart w:id="20" w:name="fig:signals_scaled_heatmaps"/>
      <w:r>
        <w:rPr>
          <w:noProof/>
        </w:rPr>
        <w:drawing>
          <wp:inline distT="0" distB="0" distL="0" distR="0">
            <wp:extent cx="4762500" cy="3238500"/>
            <wp:effectExtent l="0" t="0" r="0" b="0"/>
            <wp:docPr id="86" name="Picture" descr="Figure 12: signals_scaled_heatmaps"/>
            <wp:cNvGraphicFramePr/>
            <a:graphic xmlns:a="http://schemas.openxmlformats.org/drawingml/2006/main">
              <a:graphicData uri="http://schemas.openxmlformats.org/drawingml/2006/picture">
                <pic:pic xmlns:pic="http://schemas.openxmlformats.org/drawingml/2006/picture">
                  <pic:nvPicPr>
                    <pic:cNvPr id="87" name="Picture" descr="Figures/signals_scaled_heatmaps.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0"/>
    <w:p w:rsidR="00A05DAD" w:rsidRDefault="00000000">
      <w:pPr>
        <w:pStyle w:val="Caption"/>
      </w:pPr>
      <w:r>
        <w:rPr>
          <w:b/>
          <w:bCs/>
        </w:rPr>
        <w:t>Figure 12.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that normalize all three archictures (Tables S.8). Figure S.10 shows signal concentrations using non-rescaled parameters.</w:t>
      </w:r>
    </w:p>
    <w:p w:rsidR="00A05DAD" w:rsidRDefault="00000000">
      <w:pPr>
        <w:pStyle w:val="BodyText"/>
      </w:pPr>
      <w:r>
        <w:t xml:space="preserve">By focusing on signal concentration as the factor determining behavior, our approach accommodates multiple possible molecular mechanisms. It does mean, however, that we cannot easily distinguish between alternate mechanistic accounts linking signal exposure to changes in </w:t>
      </w:r>
      <w:r>
        <w:lastRenderedPageBreak/>
        <w:t>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5 and 6) raise additional mechanistic questions. In particular, Figure 6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A05DAD"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13 demonstrates. In sum, our methodology provides a general and flexible methodology to quantify the multi-signal “wiring diagrams” of quorum-sensing bacteria and functionally link these wiring diagrams to QS-controlled responses to environmental variation.</w:t>
      </w:r>
    </w:p>
    <w:p w:rsidR="00A05DAD" w:rsidRDefault="00000000">
      <w:pPr>
        <w:pStyle w:val="CaptionedFigure"/>
      </w:pPr>
      <w:bookmarkStart w:id="21" w:name="fig:three_signals"/>
      <w:r>
        <w:rPr>
          <w:noProof/>
        </w:rPr>
        <w:drawing>
          <wp:inline distT="0" distB="0" distL="0" distR="0">
            <wp:extent cx="4733925" cy="1295400"/>
            <wp:effectExtent l="0" t="0" r="0" b="0"/>
            <wp:docPr id="91" name="Picture" descr="Figure 13: three_signals"/>
            <wp:cNvGraphicFramePr/>
            <a:graphic xmlns:a="http://schemas.openxmlformats.org/drawingml/2006/main">
              <a:graphicData uri="http://schemas.openxmlformats.org/drawingml/2006/picture">
                <pic:pic xmlns:pic="http://schemas.openxmlformats.org/drawingml/2006/picture">
                  <pic:nvPicPr>
                    <pic:cNvPr id="92" name="Picture" descr="Figures/three_signals.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4733925" cy="1295400"/>
                    </a:xfrm>
                    <a:prstGeom prst="rect">
                      <a:avLst/>
                    </a:prstGeom>
                    <a:noFill/>
                    <a:ln w="9525">
                      <a:noFill/>
                      <a:headEnd/>
                      <a:tailEnd/>
                    </a:ln>
                  </pic:spPr>
                </pic:pic>
              </a:graphicData>
            </a:graphic>
          </wp:inline>
        </w:drawing>
      </w:r>
    </w:p>
    <w:bookmarkEnd w:id="21"/>
    <w:p w:rsidR="00A05DAD" w:rsidRDefault="00000000">
      <w:pPr>
        <w:pStyle w:val="Caption"/>
      </w:pPr>
      <w:r>
        <w:rPr>
          <w:b/>
          <w:bCs/>
        </w:rPr>
        <w:t>Figure 13. Interaction strength for both induction and repression determines population behavior.</w:t>
      </w:r>
      <w:r>
        <w:t xml:space="preserve"> The figure considers three hypothetical architectures for a quorum sensing network with three QS systems. Panel A establishes a baseline in which the third system is independent of the first two. In Panels B and C, the third system is induced by the first, repressed by the second, and, in turn, induces the second. The differences between those panels are strictly qualitative.</w:t>
      </w:r>
    </w:p>
    <w:p w:rsidR="00A05DAD" w:rsidRDefault="00000000">
      <w:pPr>
        <w:pStyle w:val="Heading2"/>
      </w:pPr>
      <w:bookmarkStart w:id="22" w:name="methods"/>
      <w:bookmarkEnd w:id="19"/>
      <w:r>
        <w:t>Methods</w:t>
      </w:r>
    </w:p>
    <w:p w:rsidR="00A05DAD" w:rsidRDefault="00000000">
      <w:pPr>
        <w:pStyle w:val="Heading3"/>
      </w:pPr>
      <w:bookmarkStart w:id="23" w:name="data-collection"/>
      <w:r>
        <w:t>Data Collection</w:t>
      </w:r>
    </w:p>
    <w:p w:rsidR="00A05DAD"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A05DAD" w:rsidRDefault="00000000">
      <w:pPr>
        <w:pStyle w:val="BodyText"/>
      </w:pPr>
      <w:r>
        <w:lastRenderedPageBreak/>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A05DAD" w:rsidRDefault="00000000">
      <w:pPr>
        <w:pStyle w:val="Heading3"/>
      </w:pPr>
      <w:bookmarkStart w:id="24" w:name="data-analysis"/>
      <w:bookmarkEnd w:id="23"/>
      <w:r>
        <w:t>Data Analysis</w:t>
      </w:r>
    </w:p>
    <w:p w:rsidR="00A05DAD"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A05DAD" w:rsidRDefault="00000000">
      <w:pPr>
        <w:pStyle w:val="BodyText"/>
      </w:pPr>
      <w:r>
        <w:t>Additional third-party modules:</w:t>
      </w:r>
    </w:p>
    <w:p w:rsidR="00A05DAD"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A05DAD"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A05DAD"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A05DAD" w:rsidRDefault="00000000">
      <w:pPr>
        <w:pStyle w:val="BodyText"/>
      </w:pPr>
      <w:r>
        <w:t>Custom color schemes adapted from seaboarn.</w:t>
      </w:r>
    </w:p>
    <w:p w:rsidR="00A05DAD"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A05DAD" w:rsidRDefault="00000000">
      <w:pPr>
        <w:pStyle w:val="Heading2"/>
      </w:pPr>
      <w:bookmarkStart w:id="25" w:name="references"/>
      <w:bookmarkEnd w:id="22"/>
      <w:bookmarkEnd w:id="24"/>
      <w:r>
        <w:t>References</w:t>
      </w:r>
    </w:p>
    <w:p w:rsidR="00A05DAD" w:rsidRDefault="00000000">
      <w:pPr>
        <w:pStyle w:val="Bibliography"/>
      </w:pPr>
      <w:bookmarkStart w:id="26" w:name="ref-Allen2016"/>
      <w:bookmarkStart w:id="27" w:name="refs"/>
      <w:r>
        <w:t xml:space="preserve">Allen, RC, L McNally, R Popat, and SP Brown. 2016. “Quorum Sensing Protects Bacterial Co-Operation from Exploitation by Cheats.” </w:t>
      </w:r>
      <w:r>
        <w:rPr>
          <w:i/>
          <w:iCs/>
        </w:rPr>
        <w:t>ISME J</w:t>
      </w:r>
      <w:r>
        <w:t xml:space="preserve"> 10 (7): 1706–16.</w:t>
      </w:r>
    </w:p>
    <w:p w:rsidR="00A05DAD" w:rsidRDefault="00000000">
      <w:pPr>
        <w:pStyle w:val="Bibliography"/>
      </w:pPr>
      <w:bookmarkStart w:id="28" w:name="ref-Boedicker2009"/>
      <w:bookmarkEnd w:id="26"/>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A05DAD" w:rsidRDefault="00000000">
      <w:pPr>
        <w:pStyle w:val="Bibliography"/>
      </w:pPr>
      <w:bookmarkStart w:id="29" w:name="ref-Bolouri2008"/>
      <w:bookmarkEnd w:id="28"/>
      <w:r>
        <w:t xml:space="preserve">Bolouri, Hamid. 2008. </w:t>
      </w:r>
      <w:r>
        <w:rPr>
          <w:i/>
          <w:iCs/>
        </w:rPr>
        <w:t>Computational Modeling of Gene Regulatory Networks: A Primer</w:t>
      </w:r>
      <w:r>
        <w:t>. Imperial College Press.</w:t>
      </w:r>
    </w:p>
    <w:p w:rsidR="00A05DAD" w:rsidRDefault="00000000">
      <w:pPr>
        <w:pStyle w:val="Bibliography"/>
      </w:pPr>
      <w:bookmarkStart w:id="30" w:name="ref-Bottomley2007"/>
      <w:bookmarkEnd w:id="29"/>
      <w:r>
        <w:lastRenderedPageBreak/>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A05DAD" w:rsidRDefault="00000000">
      <w:pPr>
        <w:pStyle w:val="Bibliography"/>
      </w:pPr>
      <w:bookmarkStart w:id="31" w:name="ref-Bridges2019"/>
      <w:bookmarkEnd w:id="30"/>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A05DAD" w:rsidRDefault="00000000">
      <w:pPr>
        <w:pStyle w:val="Bibliography"/>
      </w:pPr>
      <w:bookmarkStart w:id="32" w:name="ref-Brown2013"/>
      <w:bookmarkEnd w:id="31"/>
      <w:r>
        <w:t xml:space="preserve">Brown, D. 2013. “Linking Molecular and Population Processes in Mathematical Models of Quorum Sensing.” </w:t>
      </w:r>
      <w:r>
        <w:rPr>
          <w:i/>
          <w:iCs/>
        </w:rPr>
        <w:t>Bull Math Biol</w:t>
      </w:r>
      <w:r>
        <w:t xml:space="preserve"> 75 (10): 1813–39.</w:t>
      </w:r>
    </w:p>
    <w:p w:rsidR="00A05DAD" w:rsidRDefault="00000000">
      <w:pPr>
        <w:pStyle w:val="Bibliography"/>
      </w:pPr>
      <w:bookmarkStart w:id="33" w:name="ref-Buchler2003"/>
      <w:bookmarkEnd w:id="32"/>
      <w:r>
        <w:t xml:space="preserve">Buchler, NE, U Gerland, and T Hwa. 2003. “On Schemes of Combinatorial Transcription Logic.” </w:t>
      </w:r>
      <w:r>
        <w:rPr>
          <w:i/>
          <w:iCs/>
        </w:rPr>
        <w:t>Proc Natl Acad Sci U S A</w:t>
      </w:r>
      <w:r>
        <w:t xml:space="preserve"> 100 (9): 5136–41.</w:t>
      </w:r>
    </w:p>
    <w:p w:rsidR="00A05DAD" w:rsidRDefault="00000000">
      <w:pPr>
        <w:pStyle w:val="Bibliography"/>
      </w:pPr>
      <w:bookmarkStart w:id="34" w:name="ref-Casilag2016"/>
      <w:bookmarkEnd w:id="3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A05DAD" w:rsidRDefault="00000000">
      <w:pPr>
        <w:pStyle w:val="Bibliography"/>
      </w:pPr>
      <w:bookmarkStart w:id="35" w:name="ref-Chugani2001"/>
      <w:bookmarkEnd w:id="3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A05DAD" w:rsidRDefault="00000000">
      <w:pPr>
        <w:pStyle w:val="Bibliography"/>
      </w:pPr>
      <w:bookmarkStart w:id="36" w:name="ref-Cigana2021"/>
      <w:bookmarkEnd w:id="3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A05DAD" w:rsidRDefault="00000000">
      <w:pPr>
        <w:pStyle w:val="Bibliography"/>
      </w:pPr>
      <w:bookmarkStart w:id="37" w:name="ref-Cornforth2014"/>
      <w:bookmarkEnd w:id="36"/>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A05DAD" w:rsidRDefault="00000000">
      <w:pPr>
        <w:pStyle w:val="Bibliography"/>
      </w:pPr>
      <w:bookmarkStart w:id="38" w:name="ref-Dekimpe2009"/>
      <w:bookmarkEnd w:id="37"/>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A05DAD" w:rsidRDefault="00000000">
      <w:pPr>
        <w:pStyle w:val="Bibliography"/>
      </w:pPr>
      <w:bookmarkStart w:id="39" w:name="ref-Diggle2007"/>
      <w:bookmarkEnd w:id="38"/>
      <w:r>
        <w:t xml:space="preserve">Diggle, SP, AS Griffin, GS Campbell, and SA West. 2007. “Cooperation and Conflict in Quorum-Sensing Bacterial Populations.” </w:t>
      </w:r>
      <w:r>
        <w:rPr>
          <w:i/>
          <w:iCs/>
        </w:rPr>
        <w:t>Nature</w:t>
      </w:r>
      <w:r>
        <w:t xml:space="preserve"> 450 (7168): 411–14.</w:t>
      </w:r>
    </w:p>
    <w:p w:rsidR="00A05DAD" w:rsidRDefault="00000000">
      <w:pPr>
        <w:pStyle w:val="Bibliography"/>
      </w:pPr>
      <w:bookmarkStart w:id="40" w:name="ref-Dockery2001"/>
      <w:bookmarkEnd w:id="39"/>
      <w:r>
        <w:t xml:space="preserve">Dockery, JD, and JP Keener. 2001. “A Mathematical Model for Quorum Sensing in </w:t>
      </w:r>
      <w:r>
        <w:rPr>
          <w:i/>
          <w:iCs/>
        </w:rPr>
        <w:t>Pseudomonas Aeruginosa</w:t>
      </w:r>
      <w:r>
        <w:t xml:space="preserve">.” </w:t>
      </w:r>
      <w:r>
        <w:rPr>
          <w:i/>
          <w:iCs/>
        </w:rPr>
        <w:t>Bull Math Biol</w:t>
      </w:r>
      <w:r>
        <w:t xml:space="preserve"> 63 (1): 95–116.</w:t>
      </w:r>
    </w:p>
    <w:p w:rsidR="00A05DAD" w:rsidRDefault="00000000">
      <w:pPr>
        <w:pStyle w:val="Bibliography"/>
      </w:pPr>
      <w:bookmarkStart w:id="41" w:name="ref-Fuqua1994"/>
      <w:bookmarkEnd w:id="40"/>
      <w:r>
        <w:t xml:space="preserve">Fuqua, WC, SC Winans, and EP Greenberg. 1994. “Quorum Sensing in Bacteria: The LuxR-LuxI Family of Cell Density-Responsive Transcriptional Regulators.” </w:t>
      </w:r>
      <w:r>
        <w:rPr>
          <w:i/>
          <w:iCs/>
        </w:rPr>
        <w:t>J Bacteriol</w:t>
      </w:r>
      <w:r>
        <w:t xml:space="preserve"> 176 (2): 269–75.</w:t>
      </w:r>
    </w:p>
    <w:p w:rsidR="00A05DAD" w:rsidRDefault="00000000">
      <w:pPr>
        <w:pStyle w:val="Bibliography"/>
      </w:pPr>
      <w:bookmarkStart w:id="42" w:name="ref-Henke2004"/>
      <w:bookmarkEnd w:id="41"/>
      <w:r>
        <w:t xml:space="preserve">Henke, JM, and BL Bassler. 2004. “Three Parallel Quorum-Sensing Systems Regulate Gene Expression in Vibrio Harveyi.” </w:t>
      </w:r>
      <w:r>
        <w:rPr>
          <w:i/>
          <w:iCs/>
        </w:rPr>
        <w:t>J Bacteriol</w:t>
      </w:r>
      <w:r>
        <w:t xml:space="preserve"> 186 (20): 6902–14.</w:t>
      </w:r>
    </w:p>
    <w:p w:rsidR="00A05DAD" w:rsidRDefault="00000000">
      <w:pPr>
        <w:pStyle w:val="Bibliography"/>
      </w:pPr>
      <w:bookmarkStart w:id="43" w:name="ref-Hense2007"/>
      <w:bookmarkEnd w:id="42"/>
      <w:r>
        <w:lastRenderedPageBreak/>
        <w:t xml:space="preserve">Hense, BA, C Kuttler, J Müller, M Rothballer, A Hartmann, and JU Kreft. 2007. “Does Efficiency Sensing Unify Diffusion and Quorum Sensing.” </w:t>
      </w:r>
      <w:r>
        <w:rPr>
          <w:i/>
          <w:iCs/>
        </w:rPr>
        <w:t>Nat Rev Microbiol</w:t>
      </w:r>
      <w:r>
        <w:t xml:space="preserve"> 5 (3): 230–39.</w:t>
      </w:r>
    </w:p>
    <w:p w:rsidR="00A05DAD" w:rsidRDefault="00000000">
      <w:pPr>
        <w:pStyle w:val="Bibliography"/>
      </w:pPr>
      <w:bookmarkStart w:id="44" w:name="ref-James2000"/>
      <w:bookmarkEnd w:id="43"/>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A05DAD" w:rsidRDefault="00000000">
      <w:pPr>
        <w:pStyle w:val="Bibliography"/>
      </w:pPr>
      <w:bookmarkStart w:id="45" w:name="ref-Kaplan2008"/>
      <w:bookmarkEnd w:id="44"/>
      <w:r>
        <w:t xml:space="preserve">Kaplan, S, A Bren, A Zaslaver, E Dekel, and U Alon. 2008. “Diverse Two-Dimensional Input Functions Control Bacterial Sugar Genes.” </w:t>
      </w:r>
      <w:r>
        <w:rPr>
          <w:i/>
          <w:iCs/>
        </w:rPr>
        <w:t>Mol Cell</w:t>
      </w:r>
      <w:r>
        <w:t xml:space="preserve"> 29 (6): 786–92.</w:t>
      </w:r>
    </w:p>
    <w:p w:rsidR="00A05DAD" w:rsidRDefault="00000000">
      <w:pPr>
        <w:pStyle w:val="Bibliography"/>
      </w:pPr>
      <w:bookmarkStart w:id="46" w:name="ref-Kiratisin2002"/>
      <w:bookmarkEnd w:id="45"/>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A05DAD" w:rsidRDefault="00000000">
      <w:pPr>
        <w:pStyle w:val="Bibliography"/>
      </w:pPr>
      <w:bookmarkStart w:id="47" w:name="ref-Latifi1996"/>
      <w:bookmarkEnd w:id="46"/>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A05DAD" w:rsidRDefault="00000000">
      <w:pPr>
        <w:pStyle w:val="Bibliography"/>
      </w:pPr>
      <w:bookmarkStart w:id="48" w:name="ref-Lee2015"/>
      <w:bookmarkEnd w:id="47"/>
      <w:r>
        <w:t xml:space="preserve">Lee, J, and L Zhang. 2015. “The Hierarchy Quorum Sensing Network in </w:t>
      </w:r>
      <w:r>
        <w:rPr>
          <w:i/>
          <w:iCs/>
        </w:rPr>
        <w:t>Pseudomonas Aeruginosa</w:t>
      </w:r>
      <w:r>
        <w:t xml:space="preserve">.” </w:t>
      </w:r>
      <w:r>
        <w:rPr>
          <w:i/>
          <w:iCs/>
        </w:rPr>
        <w:t>Protein Cell</w:t>
      </w:r>
      <w:r>
        <w:t xml:space="preserve"> 6 (1): 26–41.</w:t>
      </w:r>
    </w:p>
    <w:p w:rsidR="00A05DAD" w:rsidRDefault="00000000">
      <w:pPr>
        <w:pStyle w:val="Bibliography"/>
      </w:pPr>
      <w:bookmarkStart w:id="49" w:name="ref-Long2009"/>
      <w:bookmarkEnd w:id="48"/>
      <w:r>
        <w:t xml:space="preserve">Long, T, KC Tu, Y Wang, P Mehta, NP Ong, BL Bassler, and NS Wingreen. 2009. “Quantifying the Integration of Quorum-Sensing Signals with Single-Cell Resolution.” </w:t>
      </w:r>
      <w:r>
        <w:rPr>
          <w:i/>
          <w:iCs/>
        </w:rPr>
        <w:t>PLoS Biol</w:t>
      </w:r>
      <w:r>
        <w:t xml:space="preserve"> 7 (3): e68.</w:t>
      </w:r>
    </w:p>
    <w:p w:rsidR="00A05DAD" w:rsidRDefault="00000000">
      <w:pPr>
        <w:pStyle w:val="Bibliography"/>
      </w:pPr>
      <w:bookmarkStart w:id="50" w:name="ref-Mayer2023"/>
      <w:bookmarkEnd w:id="49"/>
      <w:r>
        <w:t xml:space="preserve">Mayer, C, A Borges, SC Flament-Simon, and M Simões. 2023. “Quorum Sensing Architecture Network in Escherichia Coli Virulence and Pathogenesis.” </w:t>
      </w:r>
      <w:r>
        <w:rPr>
          <w:i/>
          <w:iCs/>
        </w:rPr>
        <w:t>FEMS Microbiol Rev</w:t>
      </w:r>
      <w:r>
        <w:t xml:space="preserve"> 47 (4): fuad031.</w:t>
      </w:r>
    </w:p>
    <w:p w:rsidR="00A05DAD" w:rsidRDefault="00000000">
      <w:pPr>
        <w:pStyle w:val="Bibliography"/>
      </w:pPr>
      <w:bookmarkStart w:id="51" w:name="ref-McGrath2004"/>
      <w:bookmarkEnd w:id="50"/>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A05DAD" w:rsidRDefault="00000000">
      <w:pPr>
        <w:pStyle w:val="Bibliography"/>
      </w:pPr>
      <w:bookmarkStart w:id="52" w:name="ref-Mok2003"/>
      <w:bookmarkEnd w:id="51"/>
      <w:r>
        <w:t xml:space="preserve">Mok, KC, NS Wingreen, and BL Bassler. 2003. “Vibrio Harveyi Quorum Sensing: A Coincidence Detector for Two Autoinducers Controls Gene Expression.” </w:t>
      </w:r>
      <w:r>
        <w:rPr>
          <w:i/>
          <w:iCs/>
        </w:rPr>
        <w:t>EMBO J</w:t>
      </w:r>
      <w:r>
        <w:t xml:space="preserve"> 22 (4): 870–81.</w:t>
      </w:r>
    </w:p>
    <w:p w:rsidR="00A05DAD" w:rsidRDefault="00000000">
      <w:pPr>
        <w:pStyle w:val="Bibliography"/>
      </w:pPr>
      <w:bookmarkStart w:id="53" w:name="ref-Nouwens2003"/>
      <w:bookmarkEnd w:id="52"/>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A05DAD" w:rsidRDefault="00000000">
      <w:pPr>
        <w:pStyle w:val="Bibliography"/>
      </w:pPr>
      <w:bookmarkStart w:id="54" w:name="ref-Papenfort2016"/>
      <w:bookmarkEnd w:id="53"/>
      <w:r>
        <w:t xml:space="preserve">Papenfort, K, and BL Bassler. 2016. “Quorum Sensing Signal-Response Systems in Gram-Negative Bacteria.” </w:t>
      </w:r>
      <w:r>
        <w:rPr>
          <w:i/>
          <w:iCs/>
        </w:rPr>
        <w:t>Nat Rev Microbiol</w:t>
      </w:r>
      <w:r>
        <w:t xml:space="preserve"> 14 (9): 576–88.</w:t>
      </w:r>
    </w:p>
    <w:p w:rsidR="00A05DAD" w:rsidRDefault="00000000">
      <w:pPr>
        <w:pStyle w:val="Bibliography"/>
      </w:pPr>
      <w:bookmarkStart w:id="55" w:name="ref-Pearson1997"/>
      <w:bookmarkEnd w:id="54"/>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A05DAD" w:rsidRDefault="00000000">
      <w:pPr>
        <w:pStyle w:val="Bibliography"/>
      </w:pPr>
      <w:bookmarkStart w:id="56" w:name="ref-Pearson1999"/>
      <w:bookmarkEnd w:id="5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A05DAD" w:rsidRDefault="00000000">
      <w:pPr>
        <w:pStyle w:val="Bibliography"/>
      </w:pPr>
      <w:bookmarkStart w:id="57" w:name="ref-Perez2018"/>
      <w:bookmarkEnd w:id="56"/>
      <w:r>
        <w:lastRenderedPageBreak/>
        <w:t xml:space="preserve">Pérez-Velázquez, J, and BA Hense. 2018. “Differential Equations Models to Study Quorum Sensing.” </w:t>
      </w:r>
      <w:r>
        <w:rPr>
          <w:i/>
          <w:iCs/>
        </w:rPr>
        <w:t>Methods Mol Biol</w:t>
      </w:r>
      <w:r>
        <w:t xml:space="preserve"> 1673: 253–71.</w:t>
      </w:r>
    </w:p>
    <w:p w:rsidR="00A05DAD" w:rsidRDefault="00000000">
      <w:pPr>
        <w:pStyle w:val="Bibliography"/>
      </w:pPr>
      <w:bookmarkStart w:id="58" w:name="ref-Pesci1997"/>
      <w:bookmarkEnd w:id="57"/>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A05DAD" w:rsidRDefault="00000000">
      <w:pPr>
        <w:pStyle w:val="Bibliography"/>
      </w:pPr>
      <w:bookmarkStart w:id="59" w:name="ref-Popat2015"/>
      <w:bookmarkEnd w:id="58"/>
      <w:r>
        <w:t xml:space="preserve">Popat, R, DM Cornforth, L McNally, and SP Brown. 2015. “Collective Sensing and Collective Responses in Quorum-Sensing Bacteria.” </w:t>
      </w:r>
      <w:r>
        <w:rPr>
          <w:i/>
          <w:iCs/>
        </w:rPr>
        <w:t>J R Soc Interface</w:t>
      </w:r>
      <w:r>
        <w:t xml:space="preserve"> 12 (103): 20140882.</w:t>
      </w:r>
    </w:p>
    <w:p w:rsidR="00A05DAD" w:rsidRDefault="00000000">
      <w:pPr>
        <w:pStyle w:val="Bibliography"/>
      </w:pPr>
      <w:bookmarkStart w:id="60" w:name="ref-Powell1968"/>
      <w:bookmarkEnd w:id="59"/>
      <w:r>
        <w:t>Powell, Michael JD. 1968. “A Fortran Subroutine for Solving Systems of Nonlinear Algebraic Equations.”</w:t>
      </w:r>
    </w:p>
    <w:p w:rsidR="00A05DAD" w:rsidRDefault="00000000">
      <w:pPr>
        <w:pStyle w:val="Bibliography"/>
      </w:pPr>
      <w:bookmarkStart w:id="61" w:name="ref-Ratkowsky1983"/>
      <w:bookmarkEnd w:id="60"/>
      <w:r>
        <w:t xml:space="preserve">Ratkowsky, David A. 1983. </w:t>
      </w:r>
      <w:r>
        <w:rPr>
          <w:i/>
          <w:iCs/>
        </w:rPr>
        <w:t>Nonlinear Regression Modeling: A Unified Practical Approach</w:t>
      </w:r>
      <w:r>
        <w:t>. Marcel Dekker Incorporated.</w:t>
      </w:r>
    </w:p>
    <w:p w:rsidR="00A05DAD" w:rsidRDefault="00000000">
      <w:pPr>
        <w:pStyle w:val="Bibliography"/>
      </w:pPr>
      <w:bookmarkStart w:id="62" w:name="ref-Rattray2022"/>
      <w:bookmarkEnd w:id="61"/>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A05DAD" w:rsidRDefault="00000000">
      <w:pPr>
        <w:pStyle w:val="Bibliography"/>
      </w:pPr>
      <w:bookmarkStart w:id="63" w:name="ref-Redfield2002"/>
      <w:bookmarkEnd w:id="62"/>
      <w:r>
        <w:t xml:space="preserve">Redfield, RJ. 2002. “Is Quorum Sensing a Side Effect of Diffusion Sensing.” </w:t>
      </w:r>
      <w:r>
        <w:rPr>
          <w:i/>
          <w:iCs/>
        </w:rPr>
        <w:t>Trends Microbiol</w:t>
      </w:r>
      <w:r>
        <w:t xml:space="preserve"> 10 (8): 365–70.</w:t>
      </w:r>
    </w:p>
    <w:p w:rsidR="00A05DAD" w:rsidRDefault="00000000">
      <w:pPr>
        <w:pStyle w:val="Bibliography"/>
      </w:pPr>
      <w:bookmarkStart w:id="64" w:name="ref-Santillán2008"/>
      <w:bookmarkEnd w:id="63"/>
      <w:r>
        <w:t xml:space="preserve">Santillán, Moises. 2008. “On the Use of the Hill Functions in Mathematical Models of Gene Regulatory Networks.” </w:t>
      </w:r>
      <w:r>
        <w:rPr>
          <w:i/>
          <w:iCs/>
        </w:rPr>
        <w:t>Mathematical Modelling of Natural Phenomena</w:t>
      </w:r>
      <w:r>
        <w:t xml:space="preserve"> 3 (2): 85–97.</w:t>
      </w:r>
    </w:p>
    <w:p w:rsidR="00A05DAD" w:rsidRDefault="00000000">
      <w:pPr>
        <w:pStyle w:val="Bibliography"/>
      </w:pPr>
      <w:bookmarkStart w:id="65" w:name="ref-Sauer1995"/>
      <w:bookmarkEnd w:id="64"/>
      <w:r>
        <w:t xml:space="preserve">Sauer, F, SK Hansen, and R Tjian. 1995. “Multiple TAFIIs Directing Synergistic Activation of Transcription.” </w:t>
      </w:r>
      <w:r>
        <w:rPr>
          <w:i/>
          <w:iCs/>
        </w:rPr>
        <w:t>Science</w:t>
      </w:r>
      <w:r>
        <w:t xml:space="preserve"> 270 (5243): 1783–88.</w:t>
      </w:r>
    </w:p>
    <w:p w:rsidR="00A05DAD" w:rsidRDefault="00000000">
      <w:pPr>
        <w:pStyle w:val="Bibliography"/>
      </w:pPr>
      <w:bookmarkStart w:id="66" w:name="ref-Schuster2007"/>
      <w:bookmarkEnd w:id="6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A05DAD" w:rsidRDefault="00000000">
      <w:pPr>
        <w:pStyle w:val="Bibliography"/>
      </w:pPr>
      <w:bookmarkStart w:id="67" w:name="ref-Sexton2017"/>
      <w:bookmarkEnd w:id="66"/>
      <w:r>
        <w:t xml:space="preserve">Sexton, DJ, and M Schuster. 2017. “Nutrient Limitation Determines the Fitness of Cheaters in Bacterial Siderophore Cooperation.” </w:t>
      </w:r>
      <w:r>
        <w:rPr>
          <w:i/>
          <w:iCs/>
        </w:rPr>
        <w:t>Nat Commun</w:t>
      </w:r>
      <w:r>
        <w:t xml:space="preserve"> 8 (1): 230.</w:t>
      </w:r>
    </w:p>
    <w:p w:rsidR="00A05DAD" w:rsidRDefault="00000000">
      <w:pPr>
        <w:pStyle w:val="Bibliography"/>
      </w:pPr>
      <w:bookmarkStart w:id="68" w:name="ref-Stearns1989"/>
      <w:bookmarkEnd w:id="67"/>
      <w:r>
        <w:t xml:space="preserve">Stearns, SC. 1989. “The Evolutionary Significance of Phenotypic Plasticity.” </w:t>
      </w:r>
      <w:r>
        <w:rPr>
          <w:i/>
          <w:iCs/>
        </w:rPr>
        <w:t>Bioscience</w:t>
      </w:r>
      <w:r>
        <w:t>.</w:t>
      </w:r>
    </w:p>
    <w:p w:rsidR="00A05DAD" w:rsidRDefault="00000000">
      <w:pPr>
        <w:pStyle w:val="Bibliography"/>
      </w:pPr>
      <w:bookmarkStart w:id="69" w:name="ref-Voichek2020"/>
      <w:bookmarkEnd w:id="68"/>
      <w:r>
        <w:t xml:space="preserve">Voichek, M, S Maaß, T Kroniger, D Becher, and R Sorek. 2020. “Peptide-Based Quorum Sensing Systems in Paenibacillus Polymyxa.” </w:t>
      </w:r>
      <w:r>
        <w:rPr>
          <w:i/>
          <w:iCs/>
        </w:rPr>
        <w:t>Life Sci Alliance</w:t>
      </w:r>
      <w:r>
        <w:t xml:space="preserve"> 3 (10): e202000847.</w:t>
      </w:r>
    </w:p>
    <w:p w:rsidR="00A05DAD" w:rsidRDefault="00000000">
      <w:pPr>
        <w:pStyle w:val="Bibliography"/>
      </w:pPr>
      <w:bookmarkStart w:id="70" w:name="ref-Ward2001"/>
      <w:bookmarkEnd w:id="69"/>
      <w:r>
        <w:t xml:space="preserve">Ward, JP, JR King, AJ Koerber, P Williams, JM Croft, and RE Sockett. 2001. “Mathematical Modelling of Quorum Sensing in Bacteria.” </w:t>
      </w:r>
      <w:r>
        <w:rPr>
          <w:i/>
          <w:iCs/>
        </w:rPr>
        <w:t>IMA J Math Appl Med Biol</w:t>
      </w:r>
      <w:r>
        <w:t xml:space="preserve"> 18 (3): 263–92.</w:t>
      </w:r>
    </w:p>
    <w:p w:rsidR="00A05DAD" w:rsidRDefault="00000000">
      <w:pPr>
        <w:pStyle w:val="Bibliography"/>
      </w:pPr>
      <w:bookmarkStart w:id="71" w:name="ref-Whiteley2017"/>
      <w:bookmarkEnd w:id="70"/>
      <w:r>
        <w:t xml:space="preserve">Whiteley, M, SP Diggle, and EP Greenberg. 2017. “Progress in and Promise of Bacterial Quorum Sensing Research.” </w:t>
      </w:r>
      <w:r>
        <w:rPr>
          <w:i/>
          <w:iCs/>
        </w:rPr>
        <w:t>Nature</w:t>
      </w:r>
      <w:r>
        <w:t xml:space="preserve"> 551 (7680): 313–20.</w:t>
      </w:r>
    </w:p>
    <w:p w:rsidR="00A05DAD" w:rsidRDefault="00000000">
      <w:pPr>
        <w:pStyle w:val="Bibliography"/>
      </w:pPr>
      <w:bookmarkStart w:id="72" w:name="ref-Whiteley1999"/>
      <w:bookmarkEnd w:id="71"/>
      <w:r>
        <w:t xml:space="preserve">Whiteley, M, KM Lee, and EP Greenberg. 1999. “Identification of Genes Controlled by Quorum Sensing in Pseudomonas Aeruginosa.” </w:t>
      </w:r>
      <w:r>
        <w:rPr>
          <w:i/>
          <w:iCs/>
        </w:rPr>
        <w:t>Proc Natl Acad Sci U S A</w:t>
      </w:r>
      <w:r>
        <w:t xml:space="preserve"> 96 (24): 13904–9.</w:t>
      </w:r>
      <w:bookmarkEnd w:id="0"/>
      <w:bookmarkEnd w:id="25"/>
      <w:bookmarkEnd w:id="27"/>
      <w:bookmarkEnd w:id="72"/>
    </w:p>
    <w:sectPr w:rsidR="00A05DA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C6A012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218D1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793056258">
    <w:abstractNumId w:val="0"/>
  </w:num>
  <w:num w:numId="3" w16cid:durableId="1912422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2A09"/>
    <w:rsid w:val="00144B3A"/>
    <w:rsid w:val="002C5531"/>
    <w:rsid w:val="007D0AF9"/>
    <w:rsid w:val="00A05DAD"/>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18E4B"/>
  <w15:docId w15:val="{30AEEE0F-9975-834B-A279-C7F5B1EAF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7178</Words>
  <Characters>40915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2024-08-04T12:10:00Z</dcterms:created>
  <dcterms:modified xsi:type="dcterms:W3CDTF">2024-08-04T12:14:00Z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